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1039" w:leftChars="-495" w:firstLine="0" w:firstLineChars="0"/>
        <w:jc w:val="center"/>
        <w:rPr>
          <w:rFonts w:hint="eastAsia" w:ascii="Times New Roman" w:hAnsi="Times New Roman" w:cs="Times New Roman" w:eastAsiaTheme="minorEastAsia"/>
          <w:sz w:val="24"/>
          <w:szCs w:val="24"/>
          <w:u w:val="none"/>
          <w:vertAlign w:val="superscript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>Additional file 9</w:t>
      </w:r>
      <w:bookmarkStart w:id="2" w:name="_GoBack"/>
      <w:bookmarkEnd w:id="2"/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 xml:space="preserve"> Recommendations of</w:t>
      </w:r>
      <w:r>
        <w:rPr>
          <w:rFonts w:hint="eastAsia" w:ascii="Times New Roman" w:hAnsi="Times New Roman" w:cs="Times New Roman"/>
          <w:sz w:val="24"/>
          <w:szCs w:val="24"/>
          <w:u w:val="none"/>
          <w:lang w:val="en-US" w:eastAsia="zh-CN"/>
        </w:rPr>
        <w:t xml:space="preserve"> side effects and c</w:t>
      </w:r>
      <w:r>
        <w:rPr>
          <w:rFonts w:hint="default" w:ascii="Times New Roman" w:hAnsi="Times New Roman" w:cs="Times New Roman"/>
          <w:sz w:val="24"/>
          <w:szCs w:val="24"/>
          <w:u w:val="none"/>
          <w:vertAlign w:val="baseline"/>
        </w:rPr>
        <w:t>ontraindication</w:t>
      </w:r>
      <w:r>
        <w:rPr>
          <w:rFonts w:hint="eastAsia" w:ascii="Times New Roman" w:hAnsi="Times New Roman" w:cs="Times New Roman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  <w:vertAlign w:val="baseline"/>
          <w:lang w:val="en-US" w:eastAsia="zh-CN"/>
        </w:rPr>
        <w:t>of BCG</w:t>
      </w:r>
      <w:bookmarkEnd w:id="0"/>
      <w:r>
        <w:rPr>
          <w:rFonts w:hint="eastAsia" w:ascii="Times New Roman" w:hAnsi="Times New Roman" w:cs="Times New Roman"/>
          <w:sz w:val="24"/>
          <w:szCs w:val="24"/>
          <w:u w:val="none"/>
          <w:vertAlign w:val="superscript"/>
          <w:lang w:val="en-US" w:eastAsia="zh-CN"/>
        </w:rPr>
        <w:t>a</w:t>
      </w:r>
    </w:p>
    <w:tbl>
      <w:tblPr>
        <w:tblStyle w:val="3"/>
        <w:tblW w:w="16296" w:type="dxa"/>
        <w:jc w:val="center"/>
        <w:tblInd w:w="-25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5253"/>
        <w:gridCol w:w="1329"/>
        <w:gridCol w:w="2503"/>
        <w:gridCol w:w="1579"/>
        <w:gridCol w:w="2597"/>
        <w:gridCol w:w="111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Merge w:val="restar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Guideline ID</w:t>
            </w:r>
          </w:p>
        </w:tc>
        <w:tc>
          <w:tcPr>
            <w:tcW w:w="6582" w:type="dxa"/>
            <w:gridSpan w:val="2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BCG side effects/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BCG intolerance</w:t>
            </w:r>
          </w:p>
        </w:tc>
        <w:tc>
          <w:tcPr>
            <w:tcW w:w="7790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Contraindication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</w:t>
            </w:r>
            <w:bookmarkStart w:id="1" w:name="OLE_LINK75"/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of BCG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6582" w:type="dxa"/>
            <w:gridSpan w:val="2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250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raumatic catheterization, gross hematuria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, urinary tract infection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uring the first two weeks after TURB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T</w:t>
            </w:r>
          </w:p>
        </w:tc>
        <w:tc>
          <w:tcPr>
            <w:tcW w:w="37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Others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525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Recommend measures</w:t>
            </w:r>
          </w:p>
        </w:tc>
        <w:tc>
          <w:tcPr>
            <w:tcW w:w="132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250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259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Description</w:t>
            </w:r>
          </w:p>
        </w:tc>
        <w:tc>
          <w:tcPr>
            <w:tcW w:w="111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ESMO,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[8]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Merge w:val="restar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NICE,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[9]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  <w:t>Do not offer primary prophylaxis to prevent BCG-related bladder toxicity except as part of a clinical trial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very low</w:t>
            </w:r>
          </w:p>
        </w:tc>
        <w:tc>
          <w:tcPr>
            <w:tcW w:w="2503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Seek advice from a specialist urology multidisciplinary team if symptoms of bladder toxicity after BCG cannot be controlled with antispasmodics or non-opiate analgesia and other causes have been excluded by cystoscopy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very low</w:t>
            </w:r>
          </w:p>
        </w:tc>
        <w:tc>
          <w:tcPr>
            <w:tcW w:w="2503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9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97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11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CUA,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[10]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ose reduction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B/-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AUA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zh-CN"/>
              </w:rPr>
              <w:t>/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  <w:t>SUO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, 2016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[3]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JUA,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[11]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EAU,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[12]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Strong/3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Strong/-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ICUD/SIU, 2018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[13]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ose reduction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B/2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CRHA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/CPAM, 2018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[14]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Delay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or cessation of therapy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A/4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A/4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A/4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Severe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immunosuppression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, active pulmonary tuberculosis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NCCN,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[15]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c</w:t>
            </w:r>
          </w:p>
        </w:tc>
        <w:tc>
          <w:tcPr>
            <w:tcW w:w="52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ose reduction</w:t>
            </w:r>
          </w:p>
        </w:tc>
        <w:tc>
          <w:tcPr>
            <w:tcW w:w="132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  <w:tc>
          <w:tcPr>
            <w:tcW w:w="250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  <w:tc>
          <w:tcPr>
            <w:tcW w:w="1579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59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evere local symptoms, or systemic symptoms</w:t>
            </w:r>
          </w:p>
        </w:tc>
        <w:tc>
          <w:tcPr>
            <w:tcW w:w="111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</w:tr>
    </w:tbl>
    <w:p>
      <w:pPr>
        <w:spacing w:line="240" w:lineRule="auto"/>
        <w:ind w:left="-1039" w:leftChars="-495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The SOR and LOE are presented as “SOR/LOE”. “-” indicates that the recommendation or evidence was not presented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1039" w:leftChars="-495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To simplify the table, we used “A” and “B” instead of “should/should not/offer/do not offer/refer/advise” or “consider”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1039" w:leftChars="-495" w:right="-542" w:rightChars="-258" w:firstLine="0" w:firstLineChars="0"/>
        <w:rPr>
          <w:rFonts w:hint="eastAsia" w:eastAsiaTheme="minorEastAsia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 xml:space="preserve"> To simplify the table, we used “A” and “B”, “C” instead of “preferred intervention”, “other recommended intervention”, or “useful in certain circumstances”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33BB1"/>
    <w:rsid w:val="01B62220"/>
    <w:rsid w:val="171D2F1B"/>
    <w:rsid w:val="1E046334"/>
    <w:rsid w:val="233C19C3"/>
    <w:rsid w:val="2C743166"/>
    <w:rsid w:val="2D667852"/>
    <w:rsid w:val="3D9432AB"/>
    <w:rsid w:val="42120ED6"/>
    <w:rsid w:val="4B6344C7"/>
    <w:rsid w:val="62F24A68"/>
    <w:rsid w:val="76D3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2019-03-10T02:49:00Z</dcterms:created>
  <dc:creator>仟木且耐之</dc:creator>
  <cp:lastModifiedBy>张菁</cp:lastModifiedBy>
  <dcterms:modified xsi:type="dcterms:W3CDTF">2019-07-08T09:16:17Z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